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F20" w:rsidRPr="00201F20" w:rsidRDefault="00201F20" w:rsidP="00201F20">
      <w:pPr>
        <w:widowControl/>
        <w:spacing w:line="360" w:lineRule="atLeast"/>
        <w:jc w:val="left"/>
        <w:rPr>
          <w:rFonts w:ascii="Helvetica" w:eastAsia="宋体" w:hAnsi="Helvetica" w:cs="Helvetica"/>
          <w:color w:val="444444"/>
          <w:kern w:val="0"/>
          <w:sz w:val="15"/>
          <w:szCs w:val="15"/>
          <w:lang/>
        </w:rPr>
      </w:pPr>
      <w:r>
        <w:rPr>
          <w:rFonts w:ascii="Helvetica" w:eastAsia="宋体" w:hAnsi="Helvetica" w:cs="Helvetica"/>
          <w:noProof/>
          <w:color w:val="0000FF"/>
          <w:kern w:val="0"/>
          <w:sz w:val="15"/>
          <w:szCs w:val="15"/>
        </w:rPr>
        <w:drawing>
          <wp:inline distT="0" distB="0" distL="0" distR="0">
            <wp:extent cx="1630045" cy="643890"/>
            <wp:effectExtent l="19050" t="0" r="8255" b="0"/>
            <wp:docPr id="1" name="bw-home-link" descr="Business Wir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home-link" descr="Business Wire">
                      <a:hlinkClick r:id="rId4"/>
                    </pic:cNvPr>
                    <pic:cNvPicPr>
                      <a:picLocks noChangeAspect="1" noChangeArrowheads="1"/>
                    </pic:cNvPicPr>
                  </pic:nvPicPr>
                  <pic:blipFill>
                    <a:blip r:embed="rId5" cstate="print"/>
                    <a:srcRect/>
                    <a:stretch>
                      <a:fillRect/>
                    </a:stretch>
                  </pic:blipFill>
                  <pic:spPr bwMode="auto">
                    <a:xfrm>
                      <a:off x="0" y="0"/>
                      <a:ext cx="1630045" cy="643890"/>
                    </a:xfrm>
                    <a:prstGeom prst="rect">
                      <a:avLst/>
                    </a:prstGeom>
                    <a:noFill/>
                    <a:ln w="9525">
                      <a:noFill/>
                      <a:miter lim="800000"/>
                      <a:headEnd/>
                      <a:tailEnd/>
                    </a:ln>
                  </pic:spPr>
                </pic:pic>
              </a:graphicData>
            </a:graphic>
          </wp:inline>
        </w:drawing>
      </w:r>
    </w:p>
    <w:p w:rsidR="00201F20" w:rsidRPr="00201F20" w:rsidRDefault="00201F20" w:rsidP="00201F20">
      <w:pPr>
        <w:widowControl/>
        <w:spacing w:before="27" w:after="133" w:line="320" w:lineRule="atLeast"/>
        <w:jc w:val="left"/>
        <w:outlineLvl w:val="0"/>
        <w:rPr>
          <w:rFonts w:ascii="displaylight" w:eastAsia="宋体" w:hAnsi="displaylight" w:cs="Helvetica"/>
          <w:b/>
          <w:bCs/>
          <w:color w:val="7AA52A"/>
          <w:spacing w:val="-12"/>
          <w:kern w:val="36"/>
          <w:sz w:val="34"/>
          <w:szCs w:val="34"/>
          <w:lang/>
        </w:rPr>
      </w:pPr>
      <w:r w:rsidRPr="00201F20">
        <w:rPr>
          <w:rFonts w:ascii="displaylight" w:eastAsia="宋体" w:hAnsi="displaylight" w:cs="Helvetica"/>
          <w:b/>
          <w:bCs/>
          <w:color w:val="7AA52A"/>
          <w:spacing w:val="-12"/>
          <w:kern w:val="36"/>
          <w:sz w:val="34"/>
          <w:szCs w:val="34"/>
          <w:lang/>
        </w:rPr>
        <w:t xml:space="preserve">Letters to JAMA Exposing Acupuncture Research Flaws Applauded by TCMAAA </w:t>
      </w:r>
    </w:p>
    <w:p w:rsidR="00201F20" w:rsidRPr="00201F20" w:rsidRDefault="00201F20" w:rsidP="00201F20">
      <w:pPr>
        <w:widowControl/>
        <w:spacing w:after="360" w:line="360" w:lineRule="atLeast"/>
        <w:jc w:val="left"/>
        <w:rPr>
          <w:rFonts w:ascii="Helvetica" w:eastAsia="宋体" w:hAnsi="Helvetica" w:cs="Helvetica"/>
          <w:color w:val="444444"/>
          <w:kern w:val="0"/>
          <w:sz w:val="20"/>
          <w:szCs w:val="15"/>
          <w:lang/>
        </w:rPr>
      </w:pPr>
      <w:r w:rsidRPr="00201F20">
        <w:rPr>
          <w:rFonts w:ascii="Helvetica" w:eastAsia="宋体" w:hAnsi="Helvetica" w:cs="Helvetica"/>
          <w:b/>
          <w:bCs/>
          <w:color w:val="444444"/>
          <w:kern w:val="0"/>
          <w:sz w:val="20"/>
          <w:szCs w:val="15"/>
          <w:lang/>
        </w:rPr>
        <w:t>TCMAAA calls for stricter adherence to research ethics and well-designed acupuncture studies among the integrative medicine community</w:t>
      </w:r>
      <w:r w:rsidRPr="00201F20">
        <w:rPr>
          <w:rFonts w:ascii="Helvetica" w:eastAsia="宋体" w:hAnsi="Helvetica" w:cs="Helvetica"/>
          <w:color w:val="444444"/>
          <w:kern w:val="0"/>
          <w:sz w:val="20"/>
          <w:szCs w:val="15"/>
          <w:lang/>
        </w:rPr>
        <w:t xml:space="preserve"> </w:t>
      </w:r>
    </w:p>
    <w:p w:rsidR="00201F20" w:rsidRPr="00201F20" w:rsidRDefault="00201F20" w:rsidP="00201F20">
      <w:pPr>
        <w:widowControl/>
        <w:spacing w:line="420" w:lineRule="atLeast"/>
        <w:jc w:val="left"/>
        <w:rPr>
          <w:rFonts w:ascii="Helvetica" w:eastAsia="宋体" w:hAnsi="Helvetica" w:cs="Helvetica"/>
          <w:color w:val="7767DC"/>
          <w:kern w:val="0"/>
          <w:sz w:val="18"/>
          <w:szCs w:val="13"/>
          <w:lang/>
        </w:rPr>
      </w:pPr>
      <w:r w:rsidRPr="00201F20">
        <w:rPr>
          <w:rFonts w:ascii="Helvetica" w:eastAsia="宋体" w:hAnsi="Helvetica" w:cs="Helvetica"/>
          <w:color w:val="7767DC"/>
          <w:kern w:val="0"/>
          <w:sz w:val="18"/>
          <w:szCs w:val="13"/>
          <w:lang/>
        </w:rPr>
        <w:t xml:space="preserve">February 19, 2015 08:00 </w:t>
      </w:r>
      <w:proofErr w:type="gramStart"/>
      <w:r w:rsidRPr="00201F20">
        <w:rPr>
          <w:rFonts w:ascii="Helvetica" w:eastAsia="宋体" w:hAnsi="Helvetica" w:cs="Helvetica"/>
          <w:color w:val="7767DC"/>
          <w:kern w:val="0"/>
          <w:sz w:val="18"/>
          <w:szCs w:val="13"/>
          <w:lang/>
        </w:rPr>
        <w:t>AM</w:t>
      </w:r>
      <w:proofErr w:type="gramEnd"/>
      <w:r w:rsidRPr="00201F20">
        <w:rPr>
          <w:rFonts w:ascii="Helvetica" w:eastAsia="宋体" w:hAnsi="Helvetica" w:cs="Helvetica"/>
          <w:color w:val="7767DC"/>
          <w:kern w:val="0"/>
          <w:sz w:val="18"/>
          <w:szCs w:val="13"/>
          <w:lang/>
        </w:rPr>
        <w:t xml:space="preserve"> Eastern Standard Time </w:t>
      </w:r>
    </w:p>
    <w:p w:rsidR="00201F20" w:rsidRPr="00201F20" w:rsidRDefault="00201F20" w:rsidP="00201F20">
      <w:pPr>
        <w:widowControl/>
        <w:spacing w:after="360" w:line="360" w:lineRule="atLeast"/>
        <w:jc w:val="left"/>
        <w:rPr>
          <w:rFonts w:ascii="Helvetica" w:eastAsia="宋体" w:hAnsi="Helvetica" w:cs="Helvetica"/>
          <w:color w:val="444444"/>
          <w:kern w:val="0"/>
          <w:sz w:val="20"/>
          <w:szCs w:val="15"/>
          <w:lang/>
        </w:rPr>
      </w:pPr>
      <w:r w:rsidRPr="00201F20">
        <w:rPr>
          <w:rFonts w:ascii="Helvetica" w:eastAsia="宋体" w:hAnsi="Helvetica" w:cs="Helvetica"/>
          <w:color w:val="444444"/>
          <w:kern w:val="0"/>
          <w:sz w:val="20"/>
          <w:szCs w:val="15"/>
          <w:lang/>
        </w:rPr>
        <w:t>TAMPA, Fla.--(</w:t>
      </w:r>
      <w:hyperlink r:id="rId6" w:history="1">
        <w:r w:rsidRPr="00CA6F08">
          <w:rPr>
            <w:rFonts w:ascii="Helvetica" w:eastAsia="宋体" w:hAnsi="Helvetica" w:cs="Helvetica"/>
            <w:color w:val="0000FF"/>
            <w:kern w:val="0"/>
            <w:sz w:val="20"/>
            <w:u w:val="single"/>
            <w:lang/>
          </w:rPr>
          <w:t>BUSINESS WIRE</w:t>
        </w:r>
      </w:hyperlink>
      <w:r w:rsidRPr="00201F20">
        <w:rPr>
          <w:rFonts w:ascii="Helvetica" w:eastAsia="宋体" w:hAnsi="Helvetica" w:cs="Helvetica"/>
          <w:color w:val="444444"/>
          <w:kern w:val="0"/>
          <w:sz w:val="20"/>
          <w:szCs w:val="15"/>
          <w:lang/>
        </w:rPr>
        <w:t xml:space="preserve">)--In five letters to the editor published in the latest issue of JAMA, the Journal of the American Medical Association, acupuncture clinicians and researchers around the world point to key flaws that call into question the validity and research methods used in a randomized clinical trial published in JAMA in October of 2014. The Australian study, </w:t>
      </w:r>
      <w:r w:rsidRPr="00201F20">
        <w:rPr>
          <w:rFonts w:ascii="Helvetica" w:eastAsia="宋体" w:hAnsi="Helvetica" w:cs="Helvetica"/>
          <w:i/>
          <w:iCs/>
          <w:color w:val="444444"/>
          <w:kern w:val="0"/>
          <w:sz w:val="20"/>
          <w:szCs w:val="15"/>
          <w:lang/>
        </w:rPr>
        <w:t>Acupuncture for chronic knee pain: a randomized clinical trial</w:t>
      </w:r>
      <w:r w:rsidRPr="00201F20">
        <w:rPr>
          <w:rFonts w:ascii="Helvetica" w:eastAsia="宋体" w:hAnsi="Helvetica" w:cs="Helvetica"/>
          <w:color w:val="444444"/>
          <w:kern w:val="0"/>
          <w:sz w:val="20"/>
          <w:szCs w:val="15"/>
          <w:lang/>
        </w:rPr>
        <w:t xml:space="preserve">, by </w:t>
      </w:r>
      <w:proofErr w:type="spellStart"/>
      <w:r w:rsidRPr="00201F20">
        <w:rPr>
          <w:rFonts w:ascii="Helvetica" w:eastAsia="宋体" w:hAnsi="Helvetica" w:cs="Helvetica"/>
          <w:color w:val="444444"/>
          <w:kern w:val="0"/>
          <w:sz w:val="20"/>
          <w:szCs w:val="15"/>
          <w:lang/>
        </w:rPr>
        <w:t>Hinman</w:t>
      </w:r>
      <w:proofErr w:type="spellEnd"/>
      <w:r w:rsidRPr="00201F20">
        <w:rPr>
          <w:rFonts w:ascii="Helvetica" w:eastAsia="宋体" w:hAnsi="Helvetica" w:cs="Helvetica"/>
          <w:color w:val="444444"/>
          <w:kern w:val="0"/>
          <w:sz w:val="20"/>
          <w:szCs w:val="15"/>
          <w:lang/>
        </w:rPr>
        <w:t xml:space="preserve">, et al., concluded, “In patients older than 50 years with moderate or severe chronic knee pain, neither laser nor needle acupuncture conferred benefit over sham for pain or function. Our findings do not support acupuncture for these patients.” Many American acupuncturists were outraged when the October 2014 article was published in JAMA and have called for a review of the study’s design and protocols. </w:t>
      </w:r>
    </w:p>
    <w:p w:rsidR="00201F20" w:rsidRPr="00201F20" w:rsidRDefault="00201F20" w:rsidP="00201F20">
      <w:pPr>
        <w:widowControl/>
        <w:spacing w:after="360" w:line="280" w:lineRule="atLeast"/>
        <w:jc w:val="left"/>
        <w:rPr>
          <w:rFonts w:ascii="display" w:eastAsia="宋体" w:hAnsi="display" w:cs="Helvetica"/>
          <w:vanish/>
          <w:color w:val="7AA52A"/>
          <w:kern w:val="0"/>
          <w:sz w:val="22"/>
          <w:szCs w:val="19"/>
          <w:lang/>
        </w:rPr>
      </w:pPr>
      <w:r w:rsidRPr="00201F20">
        <w:rPr>
          <w:rFonts w:ascii="display" w:eastAsia="宋体" w:hAnsi="display" w:cs="Helvetica"/>
          <w:vanish/>
          <w:color w:val="7AA52A"/>
          <w:kern w:val="0"/>
          <w:sz w:val="22"/>
          <w:szCs w:val="19"/>
          <w:lang/>
        </w:rPr>
        <w:t>“This collection of letters represents a merging of licensed acupuncturists and integrative medicine practitioners who demand the same gold standards of ethics and design quality for clinical acupuncture research as conventional medical studies”</w:t>
      </w:r>
    </w:p>
    <w:p w:rsidR="00201F20" w:rsidRPr="00201F20" w:rsidRDefault="00201F20" w:rsidP="00201F20">
      <w:pPr>
        <w:widowControl/>
        <w:spacing w:after="360" w:line="360" w:lineRule="atLeast"/>
        <w:jc w:val="left"/>
        <w:rPr>
          <w:rFonts w:ascii="Helvetica" w:eastAsia="宋体" w:hAnsi="Helvetica" w:cs="Helvetica"/>
          <w:color w:val="444444"/>
          <w:kern w:val="0"/>
          <w:sz w:val="20"/>
          <w:szCs w:val="15"/>
          <w:lang/>
        </w:rPr>
      </w:pPr>
      <w:proofErr w:type="gramStart"/>
      <w:r w:rsidRPr="00201F20">
        <w:rPr>
          <w:rFonts w:ascii="Helvetica" w:eastAsia="宋体" w:hAnsi="Helvetica" w:cs="Helvetica"/>
          <w:color w:val="444444"/>
          <w:kern w:val="0"/>
          <w:sz w:val="20"/>
          <w:szCs w:val="15"/>
          <w:lang/>
        </w:rPr>
        <w:t xml:space="preserve">Yong Ming Li, MD, Ph.D., of New Jersey challenges that the researchers altered the aims and hypotheses of the study </w:t>
      </w:r>
      <w:r w:rsidRPr="00201F20">
        <w:rPr>
          <w:rFonts w:ascii="Helvetica" w:eastAsia="宋体" w:hAnsi="Helvetica" w:cs="Helvetica"/>
          <w:i/>
          <w:iCs/>
          <w:color w:val="444444"/>
          <w:kern w:val="0"/>
          <w:sz w:val="20"/>
          <w:szCs w:val="15"/>
          <w:lang/>
        </w:rPr>
        <w:t>after</w:t>
      </w:r>
      <w:r w:rsidRPr="00201F20">
        <w:rPr>
          <w:rFonts w:ascii="Helvetica" w:eastAsia="宋体" w:hAnsi="Helvetica" w:cs="Helvetica"/>
          <w:color w:val="444444"/>
          <w:kern w:val="0"/>
          <w:sz w:val="20"/>
          <w:szCs w:val="15"/>
          <w:lang/>
        </w:rPr>
        <w:t xml:space="preserve"> the data was collected and the trial was closed.</w:t>
      </w:r>
      <w:proofErr w:type="gramEnd"/>
      <w:r w:rsidRPr="00201F20">
        <w:rPr>
          <w:rFonts w:ascii="Helvetica" w:eastAsia="宋体" w:hAnsi="Helvetica" w:cs="Helvetica"/>
          <w:color w:val="444444"/>
          <w:kern w:val="0"/>
          <w:sz w:val="20"/>
          <w:szCs w:val="15"/>
          <w:lang/>
        </w:rPr>
        <w:t xml:space="preserve"> According to the original aims and hypotheses submitted to the official clinical trials registry in 2009 the objective of the study was not to evaluate the effectiveness of traditional needle acupuncture against sham laser acupuncture, but to evaluate laser acupuncture against sham laser acupuncture with needle acupuncture serving as a positive control for laser acupuncture. Protocols originally filed with the registry as well as the authors' baseline publication do not describe sham laser acupuncture as being a control for needle acupuncture. Dr. Li's letter furthermore debates the validity of using sham laser acupuncture as a control for needle acupuncture, as it is not generally accepted as a valid control for needle acupuncture. </w:t>
      </w:r>
    </w:p>
    <w:p w:rsidR="00201F20" w:rsidRPr="00201F20" w:rsidRDefault="00201F20" w:rsidP="00201F20">
      <w:pPr>
        <w:widowControl/>
        <w:spacing w:after="360" w:line="360" w:lineRule="atLeast"/>
        <w:jc w:val="left"/>
        <w:rPr>
          <w:rFonts w:ascii="Helvetica" w:eastAsia="宋体" w:hAnsi="Helvetica" w:cs="Helvetica"/>
          <w:color w:val="444444"/>
          <w:kern w:val="0"/>
          <w:sz w:val="20"/>
          <w:szCs w:val="15"/>
          <w:lang/>
        </w:rPr>
      </w:pPr>
      <w:proofErr w:type="spellStart"/>
      <w:r w:rsidRPr="00201F20">
        <w:rPr>
          <w:rFonts w:ascii="Helvetica" w:eastAsia="宋体" w:hAnsi="Helvetica" w:cs="Helvetica"/>
          <w:color w:val="444444"/>
          <w:kern w:val="0"/>
          <w:sz w:val="20"/>
          <w:szCs w:val="15"/>
          <w:lang/>
        </w:rPr>
        <w:t>Hongjian</w:t>
      </w:r>
      <w:proofErr w:type="spellEnd"/>
      <w:r w:rsidRPr="00201F20">
        <w:rPr>
          <w:rFonts w:ascii="Helvetica" w:eastAsia="宋体" w:hAnsi="Helvetica" w:cs="Helvetica"/>
          <w:color w:val="444444"/>
          <w:kern w:val="0"/>
          <w:sz w:val="20"/>
          <w:szCs w:val="15"/>
          <w:lang/>
        </w:rPr>
        <w:t xml:space="preserve"> He, AP, Ph.D., of Florida also questions design choices: she specifically points to the use of non-standardized point selection for chronic knee pain. Also some patients received treatments once a week, while others got treated twice a week. This lack of consistency throws into question the validity of the statistics extrapolated from the data collected during the study. </w:t>
      </w:r>
    </w:p>
    <w:p w:rsidR="00201F20" w:rsidRPr="00201F20" w:rsidRDefault="00201F20" w:rsidP="00201F20">
      <w:pPr>
        <w:widowControl/>
        <w:spacing w:after="360" w:line="360" w:lineRule="atLeast"/>
        <w:jc w:val="left"/>
        <w:rPr>
          <w:rFonts w:ascii="Helvetica" w:eastAsia="宋体" w:hAnsi="Helvetica" w:cs="Helvetica"/>
          <w:color w:val="444444"/>
          <w:kern w:val="0"/>
          <w:sz w:val="20"/>
          <w:szCs w:val="15"/>
          <w:lang/>
        </w:rPr>
      </w:pPr>
      <w:r w:rsidRPr="00201F20">
        <w:rPr>
          <w:rFonts w:ascii="Helvetica" w:eastAsia="宋体" w:hAnsi="Helvetica" w:cs="Helvetica"/>
          <w:color w:val="444444"/>
          <w:kern w:val="0"/>
          <w:sz w:val="20"/>
          <w:szCs w:val="15"/>
          <w:lang/>
        </w:rPr>
        <w:lastRenderedPageBreak/>
        <w:t xml:space="preserve">David Baxter, TD, </w:t>
      </w:r>
      <w:proofErr w:type="spellStart"/>
      <w:r w:rsidRPr="00201F20">
        <w:rPr>
          <w:rFonts w:ascii="Helvetica" w:eastAsia="宋体" w:hAnsi="Helvetica" w:cs="Helvetica"/>
          <w:color w:val="444444"/>
          <w:kern w:val="0"/>
          <w:sz w:val="20"/>
          <w:szCs w:val="15"/>
          <w:lang/>
        </w:rPr>
        <w:t>DPhil</w:t>
      </w:r>
      <w:proofErr w:type="spellEnd"/>
      <w:r w:rsidRPr="00201F20">
        <w:rPr>
          <w:rFonts w:ascii="Helvetica" w:eastAsia="宋体" w:hAnsi="Helvetica" w:cs="Helvetica"/>
          <w:color w:val="444444"/>
          <w:kern w:val="0"/>
          <w:sz w:val="20"/>
          <w:szCs w:val="15"/>
          <w:lang/>
        </w:rPr>
        <w:t xml:space="preserve">, MBA, and Steve </w:t>
      </w:r>
      <w:proofErr w:type="spellStart"/>
      <w:r w:rsidRPr="00201F20">
        <w:rPr>
          <w:rFonts w:ascii="Helvetica" w:eastAsia="宋体" w:hAnsi="Helvetica" w:cs="Helvetica"/>
          <w:color w:val="444444"/>
          <w:kern w:val="0"/>
          <w:sz w:val="20"/>
          <w:szCs w:val="15"/>
          <w:lang/>
        </w:rPr>
        <w:t>Tumilty</w:t>
      </w:r>
      <w:proofErr w:type="spellEnd"/>
      <w:r w:rsidRPr="00201F20">
        <w:rPr>
          <w:rFonts w:ascii="Helvetica" w:eastAsia="宋体" w:hAnsi="Helvetica" w:cs="Helvetica"/>
          <w:color w:val="444444"/>
          <w:kern w:val="0"/>
          <w:sz w:val="20"/>
          <w:szCs w:val="15"/>
          <w:lang/>
        </w:rPr>
        <w:t xml:space="preserve">, Ph.D., questioned in their letters why the researchers chose to use laser dosages below the threshold necessary to have a therapeutic effect and why they failed to specify wavelength used in the study and why those levels were chosen. </w:t>
      </w:r>
    </w:p>
    <w:p w:rsidR="00201F20" w:rsidRPr="00201F20" w:rsidRDefault="00201F20" w:rsidP="00201F20">
      <w:pPr>
        <w:widowControl/>
        <w:spacing w:after="360" w:line="360" w:lineRule="atLeast"/>
        <w:jc w:val="left"/>
        <w:rPr>
          <w:rFonts w:ascii="Helvetica" w:eastAsia="宋体" w:hAnsi="Helvetica" w:cs="Helvetica"/>
          <w:color w:val="444444"/>
          <w:kern w:val="0"/>
          <w:sz w:val="20"/>
          <w:szCs w:val="15"/>
          <w:lang/>
        </w:rPr>
      </w:pPr>
      <w:proofErr w:type="spellStart"/>
      <w:r w:rsidRPr="00201F20">
        <w:rPr>
          <w:rFonts w:ascii="Helvetica" w:eastAsia="宋体" w:hAnsi="Helvetica" w:cs="Helvetica"/>
          <w:color w:val="444444"/>
          <w:kern w:val="0"/>
          <w:sz w:val="20"/>
          <w:szCs w:val="15"/>
          <w:lang/>
        </w:rPr>
        <w:t>Lixing</w:t>
      </w:r>
      <w:proofErr w:type="spellEnd"/>
      <w:r w:rsidRPr="00201F20">
        <w:rPr>
          <w:rFonts w:ascii="Helvetica" w:eastAsia="宋体" w:hAnsi="Helvetica" w:cs="Helvetica"/>
          <w:color w:val="444444"/>
          <w:kern w:val="0"/>
          <w:sz w:val="20"/>
          <w:szCs w:val="15"/>
          <w:lang/>
        </w:rPr>
        <w:t> Lao, Ph.D., MB, and Dr. Wing-Fai </w:t>
      </w:r>
      <w:proofErr w:type="spellStart"/>
      <w:r w:rsidRPr="00201F20">
        <w:rPr>
          <w:rFonts w:ascii="Helvetica" w:eastAsia="宋体" w:hAnsi="Helvetica" w:cs="Helvetica"/>
          <w:color w:val="444444"/>
          <w:kern w:val="0"/>
          <w:sz w:val="20"/>
          <w:szCs w:val="15"/>
          <w:lang/>
        </w:rPr>
        <w:t>Yeung</w:t>
      </w:r>
      <w:proofErr w:type="spellEnd"/>
      <w:r w:rsidRPr="00201F20">
        <w:rPr>
          <w:rFonts w:ascii="Helvetica" w:eastAsia="宋体" w:hAnsi="Helvetica" w:cs="Helvetica"/>
          <w:color w:val="444444"/>
          <w:kern w:val="0"/>
          <w:sz w:val="20"/>
          <w:szCs w:val="15"/>
          <w:lang/>
        </w:rPr>
        <w:t xml:space="preserve">, BCM, Ph.D., point out in their letter that patients were assessed after 12 weeks and then again after one year, but that without treatment for chronic knee pain after one year, the condition naturally will deteriorate, so that the findings after a year are irrelevant. With these key flaws revealed the conclusion of this randomized clinical trial is clearly undermined. </w:t>
      </w:r>
    </w:p>
    <w:p w:rsidR="00201F20" w:rsidRPr="00201F20" w:rsidRDefault="00201F20" w:rsidP="00201F20">
      <w:pPr>
        <w:widowControl/>
        <w:spacing w:after="360" w:line="360" w:lineRule="atLeast"/>
        <w:jc w:val="left"/>
        <w:rPr>
          <w:rFonts w:ascii="Helvetica" w:eastAsia="宋体" w:hAnsi="Helvetica" w:cs="Helvetica"/>
          <w:color w:val="444444"/>
          <w:kern w:val="0"/>
          <w:sz w:val="20"/>
          <w:szCs w:val="15"/>
          <w:lang/>
        </w:rPr>
      </w:pPr>
      <w:r w:rsidRPr="00201F20">
        <w:rPr>
          <w:rFonts w:ascii="Helvetica" w:eastAsia="宋体" w:hAnsi="Helvetica" w:cs="Helvetica"/>
          <w:color w:val="444444"/>
          <w:kern w:val="0"/>
          <w:sz w:val="20"/>
          <w:szCs w:val="15"/>
          <w:lang/>
        </w:rPr>
        <w:t xml:space="preserve">No group has been more involved in this issue than the Traditional Chinese Medicine American Alumni Association (TCMAAA). Through its broad social media in the USA and around the world, TCMAAA has orchestrated a series of professional forums and discussions on research ethics and design for acupuncture studies after the Australian study was published in JAMA. </w:t>
      </w:r>
    </w:p>
    <w:p w:rsidR="00201F20" w:rsidRPr="00201F20" w:rsidRDefault="00201F20" w:rsidP="00201F20">
      <w:pPr>
        <w:widowControl/>
        <w:spacing w:after="360" w:line="360" w:lineRule="atLeast"/>
        <w:jc w:val="left"/>
        <w:rPr>
          <w:rFonts w:ascii="Helvetica" w:eastAsia="宋体" w:hAnsi="Helvetica" w:cs="Helvetica"/>
          <w:color w:val="444444"/>
          <w:kern w:val="0"/>
          <w:sz w:val="20"/>
          <w:szCs w:val="15"/>
          <w:lang/>
        </w:rPr>
      </w:pPr>
      <w:r w:rsidRPr="00201F20">
        <w:rPr>
          <w:rFonts w:ascii="Helvetica" w:eastAsia="宋体" w:hAnsi="Helvetica" w:cs="Helvetica"/>
          <w:color w:val="444444"/>
          <w:kern w:val="0"/>
          <w:sz w:val="20"/>
          <w:szCs w:val="15"/>
          <w:lang/>
        </w:rPr>
        <w:t xml:space="preserve">“This collection of letters represents a merging of licensed acupuncturists and integrative medicine practitioners who demand the same gold standards of ethics and design quality for clinical acupuncture research as conventional medical studies,” stated </w:t>
      </w:r>
      <w:proofErr w:type="spellStart"/>
      <w:r w:rsidRPr="00201F20">
        <w:rPr>
          <w:rFonts w:ascii="Helvetica" w:eastAsia="宋体" w:hAnsi="Helvetica" w:cs="Helvetica"/>
          <w:color w:val="444444"/>
          <w:kern w:val="0"/>
          <w:sz w:val="20"/>
          <w:szCs w:val="15"/>
          <w:lang/>
        </w:rPr>
        <w:t>Haihe</w:t>
      </w:r>
      <w:proofErr w:type="spellEnd"/>
      <w:r w:rsidRPr="00201F20">
        <w:rPr>
          <w:rFonts w:ascii="Helvetica" w:eastAsia="宋体" w:hAnsi="Helvetica" w:cs="Helvetica"/>
          <w:color w:val="444444"/>
          <w:kern w:val="0"/>
          <w:sz w:val="20"/>
          <w:szCs w:val="15"/>
          <w:lang/>
        </w:rPr>
        <w:t xml:space="preserve"> </w:t>
      </w:r>
      <w:proofErr w:type="spellStart"/>
      <w:r w:rsidRPr="00201F20">
        <w:rPr>
          <w:rFonts w:ascii="Helvetica" w:eastAsia="宋体" w:hAnsi="Helvetica" w:cs="Helvetica"/>
          <w:color w:val="444444"/>
          <w:kern w:val="0"/>
          <w:sz w:val="20"/>
          <w:szCs w:val="15"/>
          <w:lang/>
        </w:rPr>
        <w:t>Tian</w:t>
      </w:r>
      <w:proofErr w:type="spellEnd"/>
      <w:r w:rsidRPr="00201F20">
        <w:rPr>
          <w:rFonts w:ascii="Helvetica" w:eastAsia="宋体" w:hAnsi="Helvetica" w:cs="Helvetica"/>
          <w:color w:val="444444"/>
          <w:kern w:val="0"/>
          <w:sz w:val="20"/>
          <w:szCs w:val="15"/>
          <w:lang/>
        </w:rPr>
        <w:t xml:space="preserve">, Ph.D., AP., </w:t>
      </w:r>
      <w:proofErr w:type="gramStart"/>
      <w:r w:rsidRPr="00201F20">
        <w:rPr>
          <w:rFonts w:ascii="Helvetica" w:eastAsia="宋体" w:hAnsi="Helvetica" w:cs="Helvetica"/>
          <w:color w:val="444444"/>
          <w:kern w:val="0"/>
          <w:sz w:val="20"/>
          <w:szCs w:val="15"/>
          <w:lang/>
        </w:rPr>
        <w:t>the</w:t>
      </w:r>
      <w:proofErr w:type="gramEnd"/>
      <w:r w:rsidRPr="00201F20">
        <w:rPr>
          <w:rFonts w:ascii="Helvetica" w:eastAsia="宋体" w:hAnsi="Helvetica" w:cs="Helvetica"/>
          <w:color w:val="444444"/>
          <w:kern w:val="0"/>
          <w:sz w:val="20"/>
          <w:szCs w:val="15"/>
          <w:lang/>
        </w:rPr>
        <w:t xml:space="preserve"> President of TCMAAA. </w:t>
      </w:r>
    </w:p>
    <w:p w:rsidR="00201F20" w:rsidRPr="00201F20" w:rsidRDefault="00201F20" w:rsidP="00201F20">
      <w:pPr>
        <w:widowControl/>
        <w:spacing w:after="360" w:line="360" w:lineRule="atLeast"/>
        <w:jc w:val="left"/>
        <w:rPr>
          <w:rFonts w:ascii="Helvetica" w:eastAsia="宋体" w:hAnsi="Helvetica" w:cs="Helvetica"/>
          <w:color w:val="444444"/>
          <w:kern w:val="0"/>
          <w:sz w:val="20"/>
          <w:szCs w:val="15"/>
          <w:lang/>
        </w:rPr>
      </w:pPr>
      <w:r w:rsidRPr="00201F20">
        <w:rPr>
          <w:rFonts w:ascii="Helvetica" w:eastAsia="宋体" w:hAnsi="Helvetica" w:cs="Helvetica"/>
          <w:color w:val="444444"/>
          <w:kern w:val="0"/>
          <w:sz w:val="20"/>
          <w:szCs w:val="15"/>
          <w:lang/>
        </w:rPr>
        <w:t xml:space="preserve">Even with the challenges acupuncture poses in gold-standard randomized clinical trials this valuable treatment method should not be overlooked. With properly designed and well-thought-out studies acupuncture can be evaluated fairly and thoroughly, with conclusions founded upon careful reasoning, accepted controls, and irrefutable evidence. </w:t>
      </w:r>
    </w:p>
    <w:p w:rsidR="00201F20" w:rsidRPr="00201F20" w:rsidRDefault="00201F20" w:rsidP="00201F20">
      <w:pPr>
        <w:widowControl/>
        <w:spacing w:after="360" w:line="360" w:lineRule="atLeast"/>
        <w:jc w:val="left"/>
        <w:rPr>
          <w:rFonts w:ascii="Helvetica" w:eastAsia="宋体" w:hAnsi="Helvetica" w:cs="Helvetica"/>
          <w:color w:val="444444"/>
          <w:kern w:val="0"/>
          <w:sz w:val="20"/>
          <w:szCs w:val="15"/>
          <w:lang/>
        </w:rPr>
      </w:pPr>
      <w:r w:rsidRPr="00201F20">
        <w:rPr>
          <w:rFonts w:ascii="Helvetica" w:eastAsia="宋体" w:hAnsi="Helvetica" w:cs="Helvetica"/>
          <w:b/>
          <w:bCs/>
          <w:color w:val="444444"/>
          <w:kern w:val="0"/>
          <w:sz w:val="20"/>
          <w:szCs w:val="15"/>
          <w:lang/>
        </w:rPr>
        <w:t>About TCMAAA:</w:t>
      </w:r>
      <w:r w:rsidRPr="00201F20">
        <w:rPr>
          <w:rFonts w:ascii="Helvetica" w:eastAsia="宋体" w:hAnsi="Helvetica" w:cs="Helvetica"/>
          <w:color w:val="444444"/>
          <w:kern w:val="0"/>
          <w:sz w:val="20"/>
          <w:szCs w:val="15"/>
          <w:lang/>
        </w:rPr>
        <w:t xml:space="preserve"> </w:t>
      </w:r>
    </w:p>
    <w:p w:rsidR="00201F20" w:rsidRPr="00201F20" w:rsidRDefault="00201F20" w:rsidP="00201F20">
      <w:pPr>
        <w:widowControl/>
        <w:spacing w:after="360" w:line="360" w:lineRule="atLeast"/>
        <w:jc w:val="left"/>
        <w:rPr>
          <w:rFonts w:ascii="Helvetica" w:eastAsia="宋体" w:hAnsi="Helvetica" w:cs="Helvetica"/>
          <w:color w:val="444444"/>
          <w:kern w:val="0"/>
          <w:sz w:val="20"/>
          <w:szCs w:val="15"/>
          <w:lang/>
        </w:rPr>
      </w:pPr>
      <w:r w:rsidRPr="00201F20">
        <w:rPr>
          <w:rFonts w:ascii="Helvetica" w:eastAsia="宋体" w:hAnsi="Helvetica" w:cs="Helvetica"/>
          <w:color w:val="444444"/>
          <w:kern w:val="0"/>
          <w:sz w:val="20"/>
          <w:szCs w:val="15"/>
          <w:lang/>
        </w:rPr>
        <w:t xml:space="preserve">Registered in Florida, TCMAAA (website: </w:t>
      </w:r>
      <w:hyperlink r:id="rId7" w:tgtFrame="_blank" w:history="1">
        <w:r w:rsidRPr="00CA6F08">
          <w:rPr>
            <w:rFonts w:ascii="Helvetica" w:eastAsia="宋体" w:hAnsi="Helvetica" w:cs="Helvetica"/>
            <w:color w:val="0000FF"/>
            <w:kern w:val="0"/>
            <w:sz w:val="20"/>
            <w:u w:val="single"/>
            <w:lang/>
          </w:rPr>
          <w:t>www.tcmaaa.org</w:t>
        </w:r>
      </w:hyperlink>
      <w:r w:rsidRPr="00201F20">
        <w:rPr>
          <w:rFonts w:ascii="Helvetica" w:eastAsia="宋体" w:hAnsi="Helvetica" w:cs="Helvetica"/>
          <w:color w:val="444444"/>
          <w:kern w:val="0"/>
          <w:sz w:val="20"/>
          <w:szCs w:val="15"/>
          <w:lang/>
        </w:rPr>
        <w:t xml:space="preserve">) is a nonprofit organization with one thousand members of licensed acupuncture practitioners formally trained in accredited medical education institutions in China. As a leading organization among Chinese Medicine practitioners, TCMAAA continues to support its members’ professional growth across the United States. </w:t>
      </w:r>
    </w:p>
    <w:p w:rsidR="00201F20" w:rsidRPr="00201F20" w:rsidRDefault="00201F20" w:rsidP="00201F20">
      <w:pPr>
        <w:widowControl/>
        <w:spacing w:before="560" w:after="144" w:line="280" w:lineRule="atLeast"/>
        <w:jc w:val="left"/>
        <w:outlineLvl w:val="1"/>
        <w:rPr>
          <w:rFonts w:ascii="display" w:eastAsia="宋体" w:hAnsi="display" w:cs="Helvetica"/>
          <w:b/>
          <w:bCs/>
          <w:color w:val="7AA52A"/>
          <w:kern w:val="0"/>
          <w:sz w:val="22"/>
          <w:szCs w:val="19"/>
          <w:lang/>
        </w:rPr>
      </w:pPr>
      <w:r w:rsidRPr="00201F20">
        <w:rPr>
          <w:rFonts w:ascii="display" w:eastAsia="宋体" w:hAnsi="display" w:cs="Helvetica"/>
          <w:b/>
          <w:bCs/>
          <w:color w:val="7AA52A"/>
          <w:kern w:val="0"/>
          <w:sz w:val="22"/>
          <w:szCs w:val="19"/>
          <w:lang/>
        </w:rPr>
        <w:t>Contacts</w:t>
      </w:r>
    </w:p>
    <w:p w:rsidR="00201F20" w:rsidRPr="00201F20" w:rsidRDefault="00201F20" w:rsidP="00201F20">
      <w:pPr>
        <w:widowControl/>
        <w:spacing w:after="360" w:line="360" w:lineRule="atLeast"/>
        <w:jc w:val="left"/>
        <w:rPr>
          <w:rFonts w:ascii="Helvetica" w:eastAsia="宋体" w:hAnsi="Helvetica" w:cs="Helvetica"/>
          <w:color w:val="444444"/>
          <w:kern w:val="0"/>
          <w:sz w:val="20"/>
          <w:szCs w:val="15"/>
          <w:lang/>
        </w:rPr>
      </w:pPr>
      <w:r w:rsidRPr="00201F20">
        <w:rPr>
          <w:rFonts w:ascii="Helvetica" w:eastAsia="宋体" w:hAnsi="Helvetica" w:cs="Helvetica"/>
          <w:color w:val="444444"/>
          <w:kern w:val="0"/>
          <w:sz w:val="20"/>
          <w:szCs w:val="15"/>
          <w:lang/>
        </w:rPr>
        <w:lastRenderedPageBreak/>
        <w:t>For TCMAAA</w:t>
      </w:r>
      <w:r w:rsidRPr="00201F20">
        <w:rPr>
          <w:rFonts w:ascii="Helvetica" w:eastAsia="宋体" w:hAnsi="Helvetica" w:cs="Helvetica"/>
          <w:color w:val="444444"/>
          <w:kern w:val="0"/>
          <w:sz w:val="20"/>
          <w:szCs w:val="15"/>
          <w:lang/>
        </w:rPr>
        <w:br/>
        <w:t xml:space="preserve">Selene </w:t>
      </w:r>
      <w:proofErr w:type="spellStart"/>
      <w:r w:rsidRPr="00201F20">
        <w:rPr>
          <w:rFonts w:ascii="Helvetica" w:eastAsia="宋体" w:hAnsi="Helvetica" w:cs="Helvetica"/>
          <w:color w:val="444444"/>
          <w:kern w:val="0"/>
          <w:sz w:val="20"/>
          <w:szCs w:val="15"/>
          <w:lang/>
        </w:rPr>
        <w:t>Hausman</w:t>
      </w:r>
      <w:proofErr w:type="spellEnd"/>
      <w:r w:rsidRPr="00201F20">
        <w:rPr>
          <w:rFonts w:ascii="Helvetica" w:eastAsia="宋体" w:hAnsi="Helvetica" w:cs="Helvetica"/>
          <w:color w:val="444444"/>
          <w:kern w:val="0"/>
          <w:sz w:val="20"/>
          <w:szCs w:val="15"/>
          <w:lang/>
        </w:rPr>
        <w:t xml:space="preserve">, </w:t>
      </w:r>
      <w:proofErr w:type="spellStart"/>
      <w:proofErr w:type="gramStart"/>
      <w:r w:rsidRPr="00201F20">
        <w:rPr>
          <w:rFonts w:ascii="Helvetica" w:eastAsia="宋体" w:hAnsi="Helvetica" w:cs="Helvetica"/>
          <w:color w:val="444444"/>
          <w:kern w:val="0"/>
          <w:sz w:val="20"/>
          <w:szCs w:val="15"/>
          <w:lang/>
        </w:rPr>
        <w:t>L.Ac</w:t>
      </w:r>
      <w:proofErr w:type="spellEnd"/>
      <w:r w:rsidRPr="00201F20">
        <w:rPr>
          <w:rFonts w:ascii="Helvetica" w:eastAsia="宋体" w:hAnsi="Helvetica" w:cs="Helvetica"/>
          <w:color w:val="444444"/>
          <w:kern w:val="0"/>
          <w:sz w:val="20"/>
          <w:szCs w:val="15"/>
          <w:lang/>
        </w:rPr>
        <w:t>.,</w:t>
      </w:r>
      <w:proofErr w:type="gramEnd"/>
      <w:r w:rsidRPr="00201F20">
        <w:rPr>
          <w:rFonts w:ascii="Helvetica" w:eastAsia="宋体" w:hAnsi="Helvetica" w:cs="Helvetica"/>
          <w:color w:val="444444"/>
          <w:kern w:val="0"/>
          <w:sz w:val="20"/>
          <w:szCs w:val="15"/>
          <w:lang/>
        </w:rPr>
        <w:t xml:space="preserve"> 480-510-2259</w:t>
      </w:r>
      <w:r w:rsidRPr="00201F20">
        <w:rPr>
          <w:rFonts w:ascii="Helvetica" w:eastAsia="宋体" w:hAnsi="Helvetica" w:cs="Helvetica"/>
          <w:color w:val="444444"/>
          <w:kern w:val="0"/>
          <w:sz w:val="20"/>
          <w:szCs w:val="15"/>
          <w:lang/>
        </w:rPr>
        <w:br/>
      </w:r>
      <w:hyperlink r:id="rId8" w:tgtFrame="_blank" w:history="1">
        <w:r w:rsidRPr="00CA6F08">
          <w:rPr>
            <w:rFonts w:ascii="Helvetica" w:eastAsia="宋体" w:hAnsi="Helvetica" w:cs="Helvetica"/>
            <w:color w:val="0000FF"/>
            <w:kern w:val="0"/>
            <w:sz w:val="20"/>
            <w:u w:val="single"/>
            <w:lang/>
          </w:rPr>
          <w:t>seleneph@gmail.com</w:t>
        </w:r>
      </w:hyperlink>
      <w:r w:rsidRPr="00201F20">
        <w:rPr>
          <w:rFonts w:ascii="Helvetica" w:eastAsia="宋体" w:hAnsi="Helvetica" w:cs="Helvetica"/>
          <w:color w:val="444444"/>
          <w:kern w:val="0"/>
          <w:sz w:val="20"/>
          <w:szCs w:val="15"/>
          <w:lang/>
        </w:rPr>
        <w:t xml:space="preserve"> </w:t>
      </w:r>
    </w:p>
    <w:p w:rsidR="00775AB2" w:rsidRPr="00201F20" w:rsidRDefault="00775AB2">
      <w:pPr>
        <w:rPr>
          <w:lang/>
        </w:rPr>
      </w:pPr>
    </w:p>
    <w:sectPr w:rsidR="00775AB2" w:rsidRPr="00201F20" w:rsidSect="00775A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isplaylight">
    <w:altName w:val="Times New Roman"/>
    <w:charset w:val="00"/>
    <w:family w:val="auto"/>
    <w:pitch w:val="default"/>
    <w:sig w:usb0="00000000" w:usb1="00000000" w:usb2="00000000" w:usb3="00000000" w:csb0="00000000" w:csb1="00000000"/>
  </w:font>
  <w:font w:name="display">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1F20"/>
    <w:rsid w:val="00201F20"/>
    <w:rsid w:val="00775AB2"/>
    <w:rsid w:val="00A424C7"/>
    <w:rsid w:val="00CA6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AB2"/>
    <w:pPr>
      <w:widowControl w:val="0"/>
      <w:jc w:val="both"/>
    </w:pPr>
  </w:style>
  <w:style w:type="paragraph" w:styleId="1">
    <w:name w:val="heading 1"/>
    <w:basedOn w:val="a"/>
    <w:link w:val="1Char"/>
    <w:uiPriority w:val="9"/>
    <w:qFormat/>
    <w:rsid w:val="00201F20"/>
    <w:pPr>
      <w:widowControl/>
      <w:spacing w:before="27" w:after="133" w:line="320" w:lineRule="atLeast"/>
      <w:jc w:val="left"/>
      <w:outlineLvl w:val="0"/>
    </w:pPr>
    <w:rPr>
      <w:rFonts w:ascii="displaylight" w:eastAsia="宋体" w:hAnsi="displaylight" w:cs="宋体"/>
      <w:b/>
      <w:bCs/>
      <w:color w:val="7AA52A"/>
      <w:spacing w:val="-12"/>
      <w:kern w:val="36"/>
      <w:sz w:val="54"/>
      <w:szCs w:val="54"/>
    </w:rPr>
  </w:style>
  <w:style w:type="paragraph" w:styleId="2">
    <w:name w:val="heading 2"/>
    <w:basedOn w:val="a"/>
    <w:link w:val="2Char"/>
    <w:uiPriority w:val="9"/>
    <w:qFormat/>
    <w:rsid w:val="00201F20"/>
    <w:pPr>
      <w:widowControl/>
      <w:spacing w:before="560" w:after="144" w:line="280" w:lineRule="atLeast"/>
      <w:jc w:val="left"/>
      <w:outlineLvl w:val="1"/>
    </w:pPr>
    <w:rPr>
      <w:rFonts w:ascii="display" w:eastAsia="宋体" w:hAnsi="display" w:cs="宋体"/>
      <w:b/>
      <w:bCs/>
      <w:color w:val="7AA52A"/>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1F20"/>
    <w:rPr>
      <w:rFonts w:ascii="displaylight" w:eastAsia="宋体" w:hAnsi="displaylight" w:cs="宋体"/>
      <w:b/>
      <w:bCs/>
      <w:color w:val="7AA52A"/>
      <w:spacing w:val="-12"/>
      <w:kern w:val="36"/>
      <w:sz w:val="54"/>
      <w:szCs w:val="54"/>
    </w:rPr>
  </w:style>
  <w:style w:type="character" w:customStyle="1" w:styleId="2Char">
    <w:name w:val="标题 2 Char"/>
    <w:basedOn w:val="a0"/>
    <w:link w:val="2"/>
    <w:uiPriority w:val="9"/>
    <w:rsid w:val="00201F20"/>
    <w:rPr>
      <w:rFonts w:ascii="display" w:eastAsia="宋体" w:hAnsi="display" w:cs="宋体"/>
      <w:b/>
      <w:bCs/>
      <w:color w:val="7AA52A"/>
      <w:kern w:val="0"/>
      <w:sz w:val="31"/>
      <w:szCs w:val="31"/>
    </w:rPr>
  </w:style>
  <w:style w:type="character" w:styleId="a3">
    <w:name w:val="Hyperlink"/>
    <w:basedOn w:val="a0"/>
    <w:uiPriority w:val="99"/>
    <w:semiHidden/>
    <w:unhideWhenUsed/>
    <w:rsid w:val="00201F20"/>
    <w:rPr>
      <w:color w:val="0000FF"/>
      <w:u w:val="single"/>
    </w:rPr>
  </w:style>
  <w:style w:type="paragraph" w:styleId="a4">
    <w:name w:val="Normal (Web)"/>
    <w:basedOn w:val="a"/>
    <w:uiPriority w:val="99"/>
    <w:semiHidden/>
    <w:unhideWhenUsed/>
    <w:rsid w:val="00201F20"/>
    <w:pPr>
      <w:widowControl/>
      <w:spacing w:after="360"/>
      <w:jc w:val="left"/>
    </w:pPr>
    <w:rPr>
      <w:rFonts w:ascii="宋体" w:eastAsia="宋体" w:hAnsi="宋体" w:cs="宋体"/>
      <w:kern w:val="0"/>
      <w:sz w:val="24"/>
      <w:szCs w:val="24"/>
    </w:rPr>
  </w:style>
  <w:style w:type="paragraph" w:styleId="a5">
    <w:name w:val="Balloon Text"/>
    <w:basedOn w:val="a"/>
    <w:link w:val="Char"/>
    <w:uiPriority w:val="99"/>
    <w:semiHidden/>
    <w:unhideWhenUsed/>
    <w:rsid w:val="00201F20"/>
    <w:rPr>
      <w:sz w:val="18"/>
      <w:szCs w:val="18"/>
    </w:rPr>
  </w:style>
  <w:style w:type="character" w:customStyle="1" w:styleId="Char">
    <w:name w:val="批注框文本 Char"/>
    <w:basedOn w:val="a0"/>
    <w:link w:val="a5"/>
    <w:uiPriority w:val="99"/>
    <w:semiHidden/>
    <w:rsid w:val="00201F20"/>
    <w:rPr>
      <w:sz w:val="18"/>
      <w:szCs w:val="18"/>
    </w:rPr>
  </w:style>
</w:styles>
</file>

<file path=word/webSettings.xml><?xml version="1.0" encoding="utf-8"?>
<w:webSettings xmlns:r="http://schemas.openxmlformats.org/officeDocument/2006/relationships" xmlns:w="http://schemas.openxmlformats.org/wordprocessingml/2006/main">
  <w:divs>
    <w:div w:id="163471618">
      <w:bodyDiv w:val="1"/>
      <w:marLeft w:val="0"/>
      <w:marRight w:val="0"/>
      <w:marTop w:val="0"/>
      <w:marBottom w:val="0"/>
      <w:divBdr>
        <w:top w:val="none" w:sz="0" w:space="0" w:color="auto"/>
        <w:left w:val="none" w:sz="0" w:space="0" w:color="auto"/>
        <w:bottom w:val="none" w:sz="0" w:space="0" w:color="auto"/>
        <w:right w:val="none" w:sz="0" w:space="0" w:color="auto"/>
      </w:divBdr>
      <w:divsChild>
        <w:div w:id="102846618">
          <w:marLeft w:val="0"/>
          <w:marRight w:val="0"/>
          <w:marTop w:val="0"/>
          <w:marBottom w:val="0"/>
          <w:divBdr>
            <w:top w:val="none" w:sz="0" w:space="0" w:color="auto"/>
            <w:left w:val="none" w:sz="0" w:space="0" w:color="auto"/>
            <w:bottom w:val="none" w:sz="0" w:space="0" w:color="auto"/>
            <w:right w:val="none" w:sz="0" w:space="0" w:color="auto"/>
          </w:divBdr>
        </w:div>
        <w:div w:id="1575435155">
          <w:marLeft w:val="0"/>
          <w:marRight w:val="0"/>
          <w:marTop w:val="0"/>
          <w:marBottom w:val="0"/>
          <w:divBdr>
            <w:top w:val="none" w:sz="0" w:space="0" w:color="auto"/>
            <w:left w:val="none" w:sz="0" w:space="0" w:color="auto"/>
            <w:bottom w:val="none" w:sz="0" w:space="0" w:color="auto"/>
            <w:right w:val="none" w:sz="0" w:space="0" w:color="auto"/>
          </w:divBdr>
          <w:divsChild>
            <w:div w:id="1476801442">
              <w:marLeft w:val="0"/>
              <w:marRight w:val="0"/>
              <w:marTop w:val="0"/>
              <w:marBottom w:val="0"/>
              <w:divBdr>
                <w:top w:val="none" w:sz="0" w:space="0" w:color="auto"/>
                <w:left w:val="none" w:sz="0" w:space="0" w:color="auto"/>
                <w:bottom w:val="none" w:sz="0" w:space="0" w:color="auto"/>
                <w:right w:val="none" w:sz="0" w:space="0" w:color="auto"/>
              </w:divBdr>
              <w:divsChild>
                <w:div w:id="86463870">
                  <w:marLeft w:val="0"/>
                  <w:marRight w:val="0"/>
                  <w:marTop w:val="0"/>
                  <w:marBottom w:val="0"/>
                  <w:divBdr>
                    <w:top w:val="none" w:sz="0" w:space="0" w:color="auto"/>
                    <w:left w:val="none" w:sz="0" w:space="0" w:color="auto"/>
                    <w:bottom w:val="none" w:sz="0" w:space="0" w:color="auto"/>
                    <w:right w:val="none" w:sz="0" w:space="0" w:color="auto"/>
                  </w:divBdr>
                  <w:divsChild>
                    <w:div w:id="426996634">
                      <w:marLeft w:val="0"/>
                      <w:marRight w:val="0"/>
                      <w:marTop w:val="0"/>
                      <w:marBottom w:val="0"/>
                      <w:divBdr>
                        <w:top w:val="none" w:sz="0" w:space="0" w:color="auto"/>
                        <w:left w:val="none" w:sz="0" w:space="0" w:color="auto"/>
                        <w:bottom w:val="none" w:sz="0" w:space="0" w:color="auto"/>
                        <w:right w:val="none" w:sz="0" w:space="0" w:color="auto"/>
                      </w:divBdr>
                      <w:divsChild>
                        <w:div w:id="381750981">
                          <w:marLeft w:val="0"/>
                          <w:marRight w:val="0"/>
                          <w:marTop w:val="0"/>
                          <w:marBottom w:val="0"/>
                          <w:divBdr>
                            <w:top w:val="none" w:sz="0" w:space="0" w:color="auto"/>
                            <w:left w:val="none" w:sz="0" w:space="0" w:color="auto"/>
                            <w:bottom w:val="none" w:sz="0" w:space="0" w:color="auto"/>
                            <w:right w:val="none" w:sz="0" w:space="0" w:color="auto"/>
                          </w:divBdr>
                          <w:divsChild>
                            <w:div w:id="1114641904">
                              <w:marLeft w:val="0"/>
                              <w:marRight w:val="0"/>
                              <w:marTop w:val="0"/>
                              <w:marBottom w:val="0"/>
                              <w:divBdr>
                                <w:top w:val="none" w:sz="0" w:space="0" w:color="auto"/>
                                <w:left w:val="none" w:sz="0" w:space="0" w:color="auto"/>
                                <w:bottom w:val="none" w:sz="0" w:space="0" w:color="auto"/>
                                <w:right w:val="none" w:sz="0" w:space="0" w:color="auto"/>
                              </w:divBdr>
                              <w:divsChild>
                                <w:div w:id="1122378342">
                                  <w:marLeft w:val="0"/>
                                  <w:marRight w:val="0"/>
                                  <w:marTop w:val="360"/>
                                  <w:marBottom w:val="0"/>
                                  <w:divBdr>
                                    <w:top w:val="none" w:sz="0" w:space="0" w:color="auto"/>
                                    <w:left w:val="none" w:sz="0" w:space="0" w:color="auto"/>
                                    <w:bottom w:val="none" w:sz="0" w:space="0" w:color="auto"/>
                                    <w:right w:val="none" w:sz="0" w:space="0" w:color="auto"/>
                                  </w:divBdr>
                                </w:div>
                              </w:divsChild>
                            </w:div>
                            <w:div w:id="1691956909">
                              <w:marLeft w:val="0"/>
                              <w:marRight w:val="0"/>
                              <w:marTop w:val="0"/>
                              <w:marBottom w:val="0"/>
                              <w:divBdr>
                                <w:top w:val="none" w:sz="0" w:space="0" w:color="auto"/>
                                <w:left w:val="none" w:sz="0" w:space="0" w:color="auto"/>
                                <w:bottom w:val="none" w:sz="0" w:space="0" w:color="auto"/>
                                <w:right w:val="none" w:sz="0" w:space="0" w:color="auto"/>
                              </w:divBdr>
                              <w:divsChild>
                                <w:div w:id="509297187">
                                  <w:marLeft w:val="0"/>
                                  <w:marRight w:val="0"/>
                                  <w:marTop w:val="0"/>
                                  <w:marBottom w:val="420"/>
                                  <w:divBdr>
                                    <w:top w:val="none" w:sz="0" w:space="0" w:color="auto"/>
                                    <w:left w:val="none" w:sz="0" w:space="0" w:color="auto"/>
                                    <w:bottom w:val="none" w:sz="0" w:space="0" w:color="auto"/>
                                    <w:right w:val="none" w:sz="0" w:space="0" w:color="auto"/>
                                  </w:divBdr>
                                </w:div>
                                <w:div w:id="923346298">
                                  <w:marLeft w:val="0"/>
                                  <w:marRight w:val="0"/>
                                  <w:marTop w:val="0"/>
                                  <w:marBottom w:val="0"/>
                                  <w:divBdr>
                                    <w:top w:val="none" w:sz="0" w:space="0" w:color="auto"/>
                                    <w:left w:val="none" w:sz="0" w:space="0" w:color="auto"/>
                                    <w:bottom w:val="none" w:sz="0" w:space="0" w:color="auto"/>
                                    <w:right w:val="none" w:sz="0" w:space="0" w:color="auto"/>
                                  </w:divBdr>
                                  <w:divsChild>
                                    <w:div w:id="1201210843">
                                      <w:blockQuote w:val="1"/>
                                      <w:marLeft w:val="186"/>
                                      <w:marRight w:val="0"/>
                                      <w:marTop w:val="0"/>
                                      <w:marBottom w:val="186"/>
                                      <w:divBdr>
                                        <w:top w:val="none" w:sz="0" w:space="0" w:color="auto"/>
                                        <w:left w:val="none" w:sz="0" w:space="0" w:color="auto"/>
                                        <w:bottom w:val="none" w:sz="0" w:space="0" w:color="auto"/>
                                        <w:right w:val="none" w:sz="0" w:space="0" w:color="auto"/>
                                      </w:divBdr>
                                    </w:div>
                                  </w:divsChild>
                                </w:div>
                                <w:div w:id="12716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eneph@gmail.com" TargetMode="External"/><Relationship Id="rId3" Type="http://schemas.openxmlformats.org/officeDocument/2006/relationships/webSettings" Target="webSettings.xml"/><Relationship Id="rId7" Type="http://schemas.openxmlformats.org/officeDocument/2006/relationships/hyperlink" Target="http://cts.businesswire.com/ct/CT?id=smartlink&amp;url=http%3A%2F%2Fwww.tcmaaa.org&amp;esheet=51043049&amp;newsitemid=20150219005222&amp;lan=en-US&amp;anchor=www.tcmaaa.org&amp;index=1&amp;md5=1a9f12e9da09de10aab91b1f3898cb3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sinesswir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businesswire.com/"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2015-02-22T14:47:00Z</dcterms:created>
  <dcterms:modified xsi:type="dcterms:W3CDTF">2015-02-22T14:50:00Z</dcterms:modified>
</cp:coreProperties>
</file>